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3B197" w14:textId="1FCA6DA7" w:rsidR="00B731CA" w:rsidRDefault="00B731CA" w:rsidP="00B731CA">
      <w:pPr>
        <w:pStyle w:val="a3"/>
        <w:shd w:val="clear" w:color="auto" w:fill="FFFFFF"/>
        <w:spacing w:after="360" w:afterAutospacing="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</w:rPr>
        <w:t>最高人民法院 最高人民检察院 公安部 司法部关于办理实施“软暴力”的刑事案件若干问题的意见</w:t>
      </w:r>
    </w:p>
    <w:p w14:paraId="6A9096FD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深入贯彻落实中央关于开展扫黑除恶专项斗争的决策部署，正确理解和适用最高人民法院、最高人民检察院、公安部、司法部《关于办理黑恶势力犯罪案件若干问题的指导意见》（法发〔2018〕1号，以下简称《指导意见》）关于对依法惩处采用“软暴力”实施犯罪的规定，依法办理相关犯罪案件，根据《刑法》《刑事诉讼法》及有关司法解释、规范性文件，提出如下意见：</w:t>
      </w:r>
    </w:p>
    <w:p w14:paraId="47FD5D66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“软暴力”是指行为人为谋取不法利益或形成非法影响，对他人或者在有关场所进行滋扰、纠缠、哄闹、聚众造势等，足以使他人产生恐惧、恐慌进而形成心理强制，或者足以影响、限制人身自由、危及人身财产安全，影响正常生活、工作、生产、经营的违法犯罪手段。</w:t>
      </w:r>
    </w:p>
    <w:p w14:paraId="5DF4E4B3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二、“软暴力”违法犯罪手段通常的表现形式有：</w:t>
      </w:r>
    </w:p>
    <w:p w14:paraId="16F68E48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（一）侵犯人身权利、民主权利、财产权利的手段，包括但不限于跟踪贴靠、扬言传播疾病、揭发隐私、恶意举报、诬告陷害、破坏、霸占财物等；</w:t>
      </w:r>
    </w:p>
    <w:p w14:paraId="0BBD1F2D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扰乱正常生活、工作、生产、经营秩序的手段，包括但不限于非法侵入他人住宅、破坏生活设施、设置生活障碍、贴报喷字、拉挂横幅、燃放鞭炮、播放哀乐、摆放花圈、泼洒污物、断水断电、堵门阻工，以及通过驱赶从业人员、派驻人员据守等方式直接或间接地控制厂房、办公区、经营场所等；</w:t>
      </w:r>
    </w:p>
    <w:p w14:paraId="7161AB9B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（三）扰乱社会秩序的手段，包括但不限于摆场架势示威、聚众哄闹滋扰、拦路闹事等；</w:t>
      </w:r>
    </w:p>
    <w:p w14:paraId="4B01443B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（四）其他符合本意见第一条规定的“软暴力”手段。</w:t>
      </w:r>
    </w:p>
    <w:p w14:paraId="0AA36D12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通过信息网络或者通讯工具实施，符合本意见第一条规定的违法犯罪手段，应当认定为“软暴力”。</w:t>
      </w:r>
    </w:p>
    <w:p w14:paraId="3A9BF2A7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三、行为人实施“软暴力”，具有下列情形之一，可以认定为足以使他人产生恐惧、恐慌进而形成心理强制或者足以影响、限制人身自由、危及人身财产安全或者影响正常生活、工作、生产、经营：</w:t>
      </w:r>
    </w:p>
    <w:p w14:paraId="0BB8C378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（一）黑恶势力实施的；</w:t>
      </w:r>
    </w:p>
    <w:p w14:paraId="4A2F7B0E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（二）以黑恶势力名义实施的；</w:t>
      </w:r>
    </w:p>
    <w:p w14:paraId="1A90A539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（三）曾因组织、领导、参加黑社会性质组织、恶势力犯罪集团、恶势力以及因强迫交易、非法拘禁、敲诈勒索、聚众斗殴、寻衅滋事等犯罪受过刑事处罚后又实施的；</w:t>
      </w:r>
    </w:p>
    <w:p w14:paraId="3A1F4D14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（四）携带凶器实施的；</w:t>
      </w:r>
    </w:p>
    <w:p w14:paraId="5DDCDC25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（五）有组织地实施的或者足以使他人认为暴力、威胁具有现实可能性的；</w:t>
      </w:r>
    </w:p>
    <w:p w14:paraId="7CF65626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（六）其他足以使他人产生恐惧、恐慌进而形成心理强制或者足以影响、限制人身自由、危及人身财产安全或者影响正常生活、工作、生产、经营的情形。</w:t>
      </w:r>
    </w:p>
    <w:p w14:paraId="1153E06D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由多人实施的，编造或明示暴力违法犯罪经历进行恐吓的，或者以自报组织、头目名号、统一着装、显露纹身、特殊标识以及其他明示、暗示方式，足以使他人感知相关行为的有组织性的，应当认定为“以黑恶势力名义实施”。</w:t>
      </w:r>
    </w:p>
    <w:p w14:paraId="59D5695F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由多人实施的，只要有部分行为人符合本条第一款第（一）项至第（四）项所列情形的，该项即成立。</w:t>
      </w:r>
    </w:p>
    <w:p w14:paraId="6B384F0E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虽然具体实施“软暴力”的行为人不符合本条第一款第（一）项、第（三）项所列情形，但雇佣者、指使者或者纠集者符合的，该项成立。</w:t>
      </w:r>
    </w:p>
    <w:p w14:paraId="6A3DBB5A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四、“软暴力”手段属于《刑法》第二百九十四条第五款第（三）项“黑社会性质组织行为特征”以及《指导意见》第14条“恶势力”概念中的“其他手段”。</w:t>
      </w:r>
    </w:p>
    <w:p w14:paraId="5D4961DB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五、采用“软暴力”手段，使他人产生心理恐惧或者形成心理强制，分别属于《刑法》第二百二十六条规定的“威胁”、《刑法》第二百九十三条第一款第（二）项规定的“恐吓”，同时符合其他犯罪构成要件的，应当分别以强迫交易罪、寻衅滋事罪定罪处罚。</w:t>
      </w:r>
    </w:p>
    <w:p w14:paraId="633BF98E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《关于办理寻衅滋事刑事案件适用法律若干问题的解释》第二条至第四条中的“多次”一般应当理解为二年内实施寻衅滋事行为三次以上。三次以上寻</w:t>
      </w:r>
      <w:r>
        <w:rPr>
          <w:rFonts w:ascii="微软雅黑" w:eastAsia="微软雅黑" w:hAnsi="微软雅黑" w:hint="eastAsia"/>
          <w:color w:val="333333"/>
        </w:rPr>
        <w:lastRenderedPageBreak/>
        <w:t>衅滋事行为既包括同一类别的行为，也包括不同类别的行为；既包括未受行政处罚的行为，也包括已受行政处罚的行为。</w:t>
      </w:r>
    </w:p>
    <w:p w14:paraId="0EE1A51D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六、有组织地多次短时间非法拘禁他人的，应当认定为《刑法》第二百三十八条规定的“以其他方法非法剥夺他人人身自由”。非法拘禁他人三次以上、每次持续时间在四小时以上，或者非法拘禁他人累计时间在十二小时以上的，应当以非法拘禁罪定罪处罚。</w:t>
      </w:r>
    </w:p>
    <w:p w14:paraId="01880BED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七、以“软暴力”手段非法进入或者滞留他人住宅的，应当认定为《刑法》第二百四十五条规定的“非法侵入他人住宅”，同时符合其他犯罪构成要件的，应当以非法侵入住宅罪定罪处罚。</w:t>
      </w:r>
    </w:p>
    <w:p w14:paraId="5B3E3406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八、以非法占有为目的，采用“软暴力”手段强行索取公私财物，同时符合《刑法》第二百七十四条规定的其他犯罪构成要件的，应当以敲诈勒索罪定罪处罚。</w:t>
      </w:r>
    </w:p>
    <w:p w14:paraId="7C5EBB78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《关于办理敲诈勒索刑事案件适用法律若干问题的解释》第三条中“二年内敲诈勒索三次以上”，包括已受行政处罚的行为。</w:t>
      </w:r>
    </w:p>
    <w:p w14:paraId="594AE879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九、采用“软暴力”手段，同时构成两种以上犯罪的，依法按照处罚较重的犯罪定罪处罚，法律另有规定的除外。</w:t>
      </w:r>
    </w:p>
    <w:p w14:paraId="29C549CB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十、根据本意见第五条、第八条规定，对已受行政处罚的行为追究刑事责任的，行为人先前所受的行政拘留处罚应当折抵刑期，罚款应当抵扣罚金。</w:t>
      </w:r>
    </w:p>
    <w:p w14:paraId="10ACB070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十一、雇佣、指使他人采用“软暴力”手段强迫交易、敲诈勒索，构成强迫交易罪、敲诈勒索罪的，对雇佣者、指使者，一般应当以共同犯罪中的主犯论处。</w:t>
      </w:r>
    </w:p>
    <w:p w14:paraId="4BF97B4C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为强索不受法律保护的债务或者因其他非法目的，雇佣、指使他人采用“软暴力”手段非法剥夺他人人身自由构成非法拘禁罪，或者非法侵入他人住宅、寻衅滋事，构成非法侵入住宅罪、寻衅滋事罪的，对雇佣者、指使者，一般应当以共同犯罪中的主犯论处；因本人及近亲属合法债务、婚恋、家庭、邻里纠纷等民间矛盾而雇佣、指使，没有造成严重后果的，一般不作为犯罪处理，但经有关部门批评制止或者处理处罚后仍继续实施的除外。</w:t>
      </w:r>
    </w:p>
    <w:p w14:paraId="3CFBFECE" w14:textId="77777777" w:rsidR="00B731CA" w:rsidRDefault="00B731CA" w:rsidP="00B731CA">
      <w:pPr>
        <w:pStyle w:val="a3"/>
        <w:shd w:val="clear" w:color="auto" w:fill="FFFFFF"/>
        <w:spacing w:after="36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十二、本意见自2019年4月9日起施行。</w:t>
      </w:r>
    </w:p>
    <w:p w14:paraId="039C544C" w14:textId="77777777" w:rsidR="00A37F1B" w:rsidRDefault="00A37F1B"/>
    <w:sectPr w:rsidR="00A3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E4"/>
    <w:rsid w:val="004F3824"/>
    <w:rsid w:val="005A6FE4"/>
    <w:rsid w:val="00892D5B"/>
    <w:rsid w:val="00A37F1B"/>
    <w:rsid w:val="00B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A2F9C-26EF-45AA-B47D-5BBF3249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liubiao</dc:creator>
  <cp:keywords/>
  <dc:description/>
  <cp:lastModifiedBy>liubiao</cp:lastModifiedBy>
  <cp:revision>3</cp:revision>
  <dcterms:created xsi:type="dcterms:W3CDTF">2020-05-14T05:50:00Z</dcterms:created>
  <dcterms:modified xsi:type="dcterms:W3CDTF">2020-05-14T05:50:00Z</dcterms:modified>
</cp:coreProperties>
</file>